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 xml:space="preserve">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2421B" w:rsidP="00A75AE8">
      <w:pPr>
        <w:tabs>
          <w:tab w:val="left" w:pos="142"/>
        </w:tabs>
        <w:jc w:val="center"/>
        <w:rPr>
          <w:rFonts w:ascii="Arial" w:hAnsi="Arial" w:cs="Arial"/>
          <w:sz w:val="24"/>
          <w:szCs w:val="24"/>
        </w:rPr>
      </w:pPr>
      <w:r>
        <w:rPr>
          <w:rFonts w:ascii="Arial" w:hAnsi="Arial" w:cs="Arial"/>
          <w:sz w:val="24"/>
          <w:szCs w:val="24"/>
        </w:rPr>
        <w:t>Devon, Cornwall and Isles of Scilly</w:t>
      </w:r>
      <w:r w:rsidR="00A75AE8" w:rsidRPr="002649FE">
        <w:rPr>
          <w:rFonts w:ascii="Arial" w:hAnsi="Arial" w:cs="Arial"/>
          <w:sz w:val="24"/>
          <w:szCs w:val="24"/>
        </w:rPr>
        <w:t xml:space="preserve"> Area Team </w:t>
      </w:r>
    </w:p>
    <w:p w:rsidR="00A75AE8" w:rsidRPr="002649FE" w:rsidRDefault="006E524F" w:rsidP="00A75AE8">
      <w:pPr>
        <w:tabs>
          <w:tab w:val="left" w:pos="142"/>
        </w:tabs>
        <w:jc w:val="center"/>
        <w:rPr>
          <w:rFonts w:ascii="Arial" w:hAnsi="Arial" w:cs="Arial"/>
          <w:sz w:val="24"/>
          <w:szCs w:val="24"/>
        </w:rPr>
      </w:pPr>
      <w:r>
        <w:rPr>
          <w:rFonts w:ascii="Arial" w:hAnsi="Arial" w:cs="Arial"/>
          <w:sz w:val="24"/>
          <w:szCs w:val="24"/>
        </w:rPr>
        <w:t>2016/17</w:t>
      </w:r>
      <w:r w:rsidR="00A75AE8" w:rsidRPr="002649FE">
        <w:rPr>
          <w:rFonts w:ascii="Arial" w:hAnsi="Arial" w:cs="Arial"/>
          <w:sz w:val="24"/>
          <w:szCs w:val="24"/>
        </w:rPr>
        <w:t xml:space="preserve">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884F6E">
        <w:rPr>
          <w:rFonts w:ascii="Arial" w:hAnsi="Arial" w:cs="Arial"/>
          <w:sz w:val="24"/>
          <w:szCs w:val="24"/>
        </w:rPr>
        <w:t>Hill Barton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884F6E">
        <w:rPr>
          <w:rFonts w:ascii="Arial" w:hAnsi="Arial" w:cs="Arial"/>
          <w:sz w:val="24"/>
          <w:szCs w:val="24"/>
        </w:rPr>
        <w:t>L83143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884F6E">
        <w:rPr>
          <w:rFonts w:ascii="Arial" w:hAnsi="Arial" w:cs="Arial"/>
          <w:i/>
          <w:sz w:val="24"/>
          <w:szCs w:val="24"/>
        </w:rPr>
        <w:t>Dr C. Lascelles</w:t>
      </w:r>
      <w:r w:rsidRPr="002649FE">
        <w:rPr>
          <w:rFonts w:ascii="Arial" w:hAnsi="Arial" w:cs="Arial"/>
          <w:sz w:val="24"/>
          <w:szCs w:val="24"/>
        </w:rPr>
        <w:t xml:space="preserve">          </w:t>
      </w:r>
      <w:r w:rsidRPr="002649FE">
        <w:rPr>
          <w:rFonts w:ascii="Arial" w:hAnsi="Arial" w:cs="Arial"/>
          <w:sz w:val="24"/>
          <w:szCs w:val="24"/>
        </w:rPr>
        <w:tab/>
        <w:t>Date:</w:t>
      </w:r>
      <w:r w:rsidR="006E524F">
        <w:rPr>
          <w:rFonts w:ascii="Arial" w:hAnsi="Arial" w:cs="Arial"/>
          <w:sz w:val="24"/>
          <w:szCs w:val="24"/>
        </w:rPr>
        <w:t xml:space="preserve"> 14 11 16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884F6E">
        <w:rPr>
          <w:rFonts w:ascii="Arial" w:hAnsi="Arial" w:cs="Arial"/>
          <w:i/>
          <w:sz w:val="24"/>
          <w:szCs w:val="24"/>
        </w:rPr>
        <w:t xml:space="preserve">Mrs Fiona </w:t>
      </w:r>
      <w:proofErr w:type="spellStart"/>
      <w:r w:rsidR="00884F6E">
        <w:rPr>
          <w:rFonts w:ascii="Arial" w:hAnsi="Arial" w:cs="Arial"/>
          <w:i/>
          <w:sz w:val="24"/>
          <w:szCs w:val="24"/>
        </w:rPr>
        <w:t>Criss</w:t>
      </w:r>
      <w:proofErr w:type="spellEnd"/>
      <w:r w:rsidR="00884F6E">
        <w:rPr>
          <w:rFonts w:ascii="Arial" w:hAnsi="Arial" w:cs="Arial"/>
          <w:i/>
          <w:sz w:val="24"/>
          <w:szCs w:val="24"/>
        </w:rPr>
        <w:t xml:space="preserve">  </w:t>
      </w:r>
      <w:r w:rsidRPr="002649FE">
        <w:rPr>
          <w:rFonts w:ascii="Arial" w:hAnsi="Arial" w:cs="Arial"/>
          <w:sz w:val="24"/>
          <w:szCs w:val="24"/>
        </w:rPr>
        <w:tab/>
      </w:r>
      <w:r w:rsidRPr="002649FE">
        <w:rPr>
          <w:rFonts w:ascii="Arial" w:hAnsi="Arial" w:cs="Arial"/>
          <w:sz w:val="24"/>
          <w:szCs w:val="24"/>
        </w:rPr>
        <w:tab/>
        <w:t>Date:</w:t>
      </w:r>
      <w:r w:rsidR="006E524F">
        <w:rPr>
          <w:rFonts w:ascii="Arial" w:hAnsi="Arial" w:cs="Arial"/>
          <w:sz w:val="24"/>
          <w:szCs w:val="24"/>
        </w:rPr>
        <w:t xml:space="preserve">  14 11 16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337587">
            <w:pPr>
              <w:pStyle w:val="Default"/>
              <w:tabs>
                <w:tab w:val="left" w:pos="142"/>
              </w:tabs>
              <w:rPr>
                <w:rFonts w:ascii="Arial" w:hAnsi="Arial" w:cs="Arial"/>
                <w:b/>
                <w:sz w:val="24"/>
              </w:rPr>
            </w:pPr>
            <w:r w:rsidRPr="002649FE">
              <w:rPr>
                <w:rFonts w:ascii="Arial" w:hAnsi="Arial" w:cs="Arial"/>
                <w:color w:val="auto"/>
              </w:rPr>
              <w:t xml:space="preserve">Does the Practice have a PPG? YES / </w:t>
            </w: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337587">
              <w:rPr>
                <w:rFonts w:ascii="Arial" w:hAnsi="Arial" w:cs="Arial"/>
                <w:color w:val="auto"/>
              </w:rPr>
              <w:t xml:space="preserve"> face to face, email and practice website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D50E0D">
              <w:rPr>
                <w:rFonts w:ascii="Arial" w:hAnsi="Arial" w:cs="Arial"/>
              </w:rPr>
              <w:t xml:space="preserve">  18</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C2236C" w:rsidP="00A243E1">
                  <w:pPr>
                    <w:pStyle w:val="Default"/>
                    <w:tabs>
                      <w:tab w:val="left" w:pos="142"/>
                    </w:tabs>
                    <w:rPr>
                      <w:rFonts w:ascii="Arial" w:hAnsi="Arial" w:cs="Arial"/>
                    </w:rPr>
                  </w:pPr>
                  <w:r>
                    <w:rPr>
                      <w:rFonts w:ascii="Arial" w:hAnsi="Arial" w:cs="Arial"/>
                    </w:rPr>
                    <w:t>49%</w:t>
                  </w:r>
                </w:p>
              </w:tc>
              <w:tc>
                <w:tcPr>
                  <w:tcW w:w="1985" w:type="dxa"/>
                </w:tcPr>
                <w:p w:rsidR="00A75AE8" w:rsidRPr="002649FE" w:rsidRDefault="00704DAD" w:rsidP="00A243E1">
                  <w:pPr>
                    <w:pStyle w:val="Default"/>
                    <w:tabs>
                      <w:tab w:val="left" w:pos="142"/>
                    </w:tabs>
                    <w:rPr>
                      <w:rFonts w:ascii="Arial" w:hAnsi="Arial" w:cs="Arial"/>
                    </w:rPr>
                  </w:pPr>
                  <w:r>
                    <w:rPr>
                      <w:rFonts w:ascii="Arial" w:hAnsi="Arial" w:cs="Arial"/>
                    </w:rPr>
                    <w:t>51</w:t>
                  </w:r>
                  <w:r w:rsidR="00C2236C">
                    <w:rPr>
                      <w:rFonts w:ascii="Arial" w:hAnsi="Arial" w:cs="Arial"/>
                    </w:rPr>
                    <w:t>%</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D50E0D" w:rsidP="00A243E1">
                  <w:pPr>
                    <w:pStyle w:val="Default"/>
                    <w:tabs>
                      <w:tab w:val="left" w:pos="142"/>
                    </w:tabs>
                    <w:rPr>
                      <w:rFonts w:ascii="Arial" w:hAnsi="Arial" w:cs="Arial"/>
                    </w:rPr>
                  </w:pPr>
                  <w:r>
                    <w:rPr>
                      <w:rFonts w:ascii="Arial" w:hAnsi="Arial" w:cs="Arial"/>
                    </w:rPr>
                    <w:t>44%</w:t>
                  </w:r>
                </w:p>
              </w:tc>
              <w:tc>
                <w:tcPr>
                  <w:tcW w:w="1985" w:type="dxa"/>
                </w:tcPr>
                <w:p w:rsidR="00A75AE8" w:rsidRPr="002649FE" w:rsidRDefault="00D50E0D" w:rsidP="00A243E1">
                  <w:pPr>
                    <w:pStyle w:val="Default"/>
                    <w:tabs>
                      <w:tab w:val="left" w:pos="142"/>
                    </w:tabs>
                    <w:rPr>
                      <w:rFonts w:ascii="Arial" w:hAnsi="Arial" w:cs="Arial"/>
                    </w:rPr>
                  </w:pPr>
                  <w:r>
                    <w:rPr>
                      <w:rFonts w:ascii="Arial" w:hAnsi="Arial" w:cs="Arial"/>
                    </w:rPr>
                    <w:t>58%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C2236C" w:rsidP="00A243E1">
                  <w:pPr>
                    <w:pStyle w:val="Default"/>
                    <w:tabs>
                      <w:tab w:val="left" w:pos="142"/>
                    </w:tabs>
                    <w:rPr>
                      <w:rFonts w:ascii="Arial" w:hAnsi="Arial" w:cs="Arial"/>
                    </w:rPr>
                  </w:pPr>
                  <w:r>
                    <w:rPr>
                      <w:rFonts w:ascii="Arial" w:hAnsi="Arial" w:cs="Arial"/>
                    </w:rPr>
                    <w:t>21%</w:t>
                  </w:r>
                </w:p>
              </w:tc>
              <w:tc>
                <w:tcPr>
                  <w:tcW w:w="850" w:type="dxa"/>
                </w:tcPr>
                <w:p w:rsidR="00A75AE8" w:rsidRPr="002649FE" w:rsidRDefault="00C2236C" w:rsidP="00A243E1">
                  <w:pPr>
                    <w:pStyle w:val="Default"/>
                    <w:tabs>
                      <w:tab w:val="left" w:pos="142"/>
                    </w:tabs>
                    <w:rPr>
                      <w:rFonts w:ascii="Arial" w:hAnsi="Arial" w:cs="Arial"/>
                    </w:rPr>
                  </w:pPr>
                  <w:r>
                    <w:rPr>
                      <w:rFonts w:ascii="Arial" w:hAnsi="Arial" w:cs="Arial"/>
                    </w:rPr>
                    <w:t>8%</w:t>
                  </w:r>
                </w:p>
              </w:tc>
              <w:tc>
                <w:tcPr>
                  <w:tcW w:w="851" w:type="dxa"/>
                </w:tcPr>
                <w:p w:rsidR="00A75AE8" w:rsidRPr="002649FE" w:rsidRDefault="00C2236C" w:rsidP="00A243E1">
                  <w:pPr>
                    <w:pStyle w:val="Default"/>
                    <w:tabs>
                      <w:tab w:val="left" w:pos="142"/>
                    </w:tabs>
                    <w:rPr>
                      <w:rFonts w:ascii="Arial" w:hAnsi="Arial" w:cs="Arial"/>
                    </w:rPr>
                  </w:pPr>
                  <w:r>
                    <w:rPr>
                      <w:rFonts w:ascii="Arial" w:hAnsi="Arial" w:cs="Arial"/>
                    </w:rPr>
                    <w:t>13%</w:t>
                  </w:r>
                </w:p>
              </w:tc>
              <w:tc>
                <w:tcPr>
                  <w:tcW w:w="850" w:type="dxa"/>
                </w:tcPr>
                <w:p w:rsidR="00A75AE8" w:rsidRPr="002649FE" w:rsidRDefault="00C2236C" w:rsidP="00A243E1">
                  <w:pPr>
                    <w:pStyle w:val="Default"/>
                    <w:tabs>
                      <w:tab w:val="left" w:pos="142"/>
                    </w:tabs>
                    <w:rPr>
                      <w:rFonts w:ascii="Arial" w:hAnsi="Arial" w:cs="Arial"/>
                    </w:rPr>
                  </w:pPr>
                  <w:r>
                    <w:rPr>
                      <w:rFonts w:ascii="Arial" w:hAnsi="Arial" w:cs="Arial"/>
                    </w:rPr>
                    <w:t>15%</w:t>
                  </w:r>
                </w:p>
              </w:tc>
              <w:tc>
                <w:tcPr>
                  <w:tcW w:w="851" w:type="dxa"/>
                </w:tcPr>
                <w:p w:rsidR="00A75AE8" w:rsidRPr="002649FE" w:rsidRDefault="00704DAD" w:rsidP="00A243E1">
                  <w:pPr>
                    <w:pStyle w:val="Default"/>
                    <w:tabs>
                      <w:tab w:val="left" w:pos="142"/>
                    </w:tabs>
                    <w:rPr>
                      <w:rFonts w:ascii="Arial" w:hAnsi="Arial" w:cs="Arial"/>
                    </w:rPr>
                  </w:pPr>
                  <w:r>
                    <w:rPr>
                      <w:rFonts w:ascii="Arial" w:hAnsi="Arial" w:cs="Arial"/>
                    </w:rPr>
                    <w:t>20</w:t>
                  </w:r>
                  <w:r w:rsidR="00C2236C">
                    <w:rPr>
                      <w:rFonts w:ascii="Arial" w:hAnsi="Arial" w:cs="Arial"/>
                    </w:rPr>
                    <w:t>%</w:t>
                  </w:r>
                </w:p>
              </w:tc>
              <w:tc>
                <w:tcPr>
                  <w:tcW w:w="850" w:type="dxa"/>
                </w:tcPr>
                <w:p w:rsidR="00A75AE8" w:rsidRPr="002649FE" w:rsidRDefault="00C2236C"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C2236C" w:rsidP="00A243E1">
                  <w:pPr>
                    <w:pStyle w:val="Default"/>
                    <w:tabs>
                      <w:tab w:val="left" w:pos="142"/>
                    </w:tabs>
                    <w:rPr>
                      <w:rFonts w:ascii="Arial" w:hAnsi="Arial" w:cs="Arial"/>
                    </w:rPr>
                  </w:pPr>
                  <w:r>
                    <w:rPr>
                      <w:rFonts w:ascii="Arial" w:hAnsi="Arial" w:cs="Arial"/>
                    </w:rPr>
                    <w:t>8%</w:t>
                  </w:r>
                </w:p>
              </w:tc>
              <w:tc>
                <w:tcPr>
                  <w:tcW w:w="708" w:type="dxa"/>
                </w:tcPr>
                <w:p w:rsidR="00A75AE8" w:rsidRPr="002649FE" w:rsidRDefault="00C2236C" w:rsidP="00A243E1">
                  <w:pPr>
                    <w:pStyle w:val="Default"/>
                    <w:tabs>
                      <w:tab w:val="left" w:pos="142"/>
                    </w:tabs>
                    <w:rPr>
                      <w:rFonts w:ascii="Arial" w:hAnsi="Arial" w:cs="Arial"/>
                    </w:rPr>
                  </w:pPr>
                  <w:r>
                    <w:rPr>
                      <w:rFonts w:ascii="Arial" w:hAnsi="Arial" w:cs="Arial"/>
                    </w:rPr>
                    <w:t>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D50E0D"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D50E0D" w:rsidP="00A243E1">
                  <w:pPr>
                    <w:pStyle w:val="Default"/>
                    <w:tabs>
                      <w:tab w:val="left" w:pos="142"/>
                    </w:tabs>
                    <w:rPr>
                      <w:rFonts w:ascii="Arial" w:hAnsi="Arial" w:cs="Arial"/>
                    </w:rPr>
                  </w:pPr>
                  <w:r>
                    <w:rPr>
                      <w:rFonts w:ascii="Arial" w:hAnsi="Arial" w:cs="Arial"/>
                    </w:rPr>
                    <w:t>38%</w:t>
                  </w:r>
                </w:p>
              </w:tc>
              <w:tc>
                <w:tcPr>
                  <w:tcW w:w="850" w:type="dxa"/>
                </w:tcPr>
                <w:p w:rsidR="00A75AE8" w:rsidRPr="002649FE" w:rsidRDefault="00D50E0D" w:rsidP="00A243E1">
                  <w:pPr>
                    <w:pStyle w:val="Default"/>
                    <w:tabs>
                      <w:tab w:val="left" w:pos="142"/>
                    </w:tabs>
                    <w:rPr>
                      <w:rFonts w:ascii="Arial" w:hAnsi="Arial" w:cs="Arial"/>
                    </w:rPr>
                  </w:pPr>
                  <w:r>
                    <w:rPr>
                      <w:rFonts w:ascii="Arial" w:hAnsi="Arial" w:cs="Arial"/>
                    </w:rPr>
                    <w:t>16%</w:t>
                  </w:r>
                </w:p>
              </w:tc>
              <w:tc>
                <w:tcPr>
                  <w:tcW w:w="851" w:type="dxa"/>
                </w:tcPr>
                <w:p w:rsidR="00A75AE8" w:rsidRPr="002649FE" w:rsidRDefault="00D50E0D" w:rsidP="00A243E1">
                  <w:pPr>
                    <w:pStyle w:val="Default"/>
                    <w:tabs>
                      <w:tab w:val="left" w:pos="142"/>
                    </w:tabs>
                    <w:rPr>
                      <w:rFonts w:ascii="Arial" w:hAnsi="Arial" w:cs="Arial"/>
                    </w:rPr>
                  </w:pPr>
                  <w:r>
                    <w:rPr>
                      <w:rFonts w:ascii="Arial" w:hAnsi="Arial" w:cs="Arial"/>
                    </w:rPr>
                    <w:t>33%</w:t>
                  </w:r>
                </w:p>
              </w:tc>
              <w:tc>
                <w:tcPr>
                  <w:tcW w:w="708" w:type="dxa"/>
                </w:tcPr>
                <w:p w:rsidR="00A75AE8" w:rsidRPr="002649FE" w:rsidRDefault="00D50E0D" w:rsidP="00A243E1">
                  <w:pPr>
                    <w:pStyle w:val="Default"/>
                    <w:tabs>
                      <w:tab w:val="left" w:pos="142"/>
                    </w:tabs>
                    <w:rPr>
                      <w:rFonts w:ascii="Arial" w:hAnsi="Arial" w:cs="Arial"/>
                    </w:rPr>
                  </w:pPr>
                  <w:r>
                    <w:rPr>
                      <w:rFonts w:ascii="Arial" w:hAnsi="Arial" w:cs="Arial"/>
                    </w:rPr>
                    <w:t>11%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92%</w:t>
                  </w:r>
                </w:p>
              </w:tc>
              <w:tc>
                <w:tcPr>
                  <w:tcW w:w="851"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0.3%</w:t>
                  </w:r>
                </w:p>
              </w:tc>
              <w:tc>
                <w:tcPr>
                  <w:tcW w:w="145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4.4%</w:t>
                  </w:r>
                </w:p>
              </w:tc>
              <w:tc>
                <w:tcPr>
                  <w:tcW w:w="1418"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1843"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992" w:type="dxa"/>
                </w:tcPr>
                <w:p w:rsidR="00A75AE8" w:rsidRDefault="00D50E0D" w:rsidP="00A243E1">
                  <w:pPr>
                    <w:pStyle w:val="Default"/>
                    <w:tabs>
                      <w:tab w:val="left" w:pos="142"/>
                    </w:tabs>
                    <w:rPr>
                      <w:rFonts w:ascii="Arial" w:hAnsi="Arial" w:cs="Arial"/>
                      <w:color w:val="auto"/>
                    </w:rPr>
                  </w:pPr>
                  <w:r>
                    <w:rPr>
                      <w:rFonts w:ascii="Arial" w:hAnsi="Arial" w:cs="Arial"/>
                      <w:color w:val="auto"/>
                    </w:rPr>
                    <w:t>0.4%</w:t>
                  </w:r>
                </w:p>
                <w:p w:rsidR="00D50E0D" w:rsidRPr="002649FE" w:rsidRDefault="00D50E0D" w:rsidP="00A243E1">
                  <w:pPr>
                    <w:pStyle w:val="Default"/>
                    <w:tabs>
                      <w:tab w:val="left" w:pos="142"/>
                    </w:tabs>
                    <w:rPr>
                      <w:rFonts w:ascii="Arial" w:hAnsi="Arial" w:cs="Arial"/>
                      <w:color w:val="auto"/>
                    </w:rPr>
                  </w:pPr>
                </w:p>
              </w:tc>
              <w:tc>
                <w:tcPr>
                  <w:tcW w:w="99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0.2%</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704DAD" w:rsidP="00A243E1">
                  <w:pPr>
                    <w:pStyle w:val="Default"/>
                    <w:tabs>
                      <w:tab w:val="left" w:pos="142"/>
                    </w:tabs>
                    <w:rPr>
                      <w:rFonts w:ascii="Arial" w:hAnsi="Arial" w:cs="Arial"/>
                      <w:color w:val="auto"/>
                    </w:rPr>
                  </w:pPr>
                  <w:r>
                    <w:rPr>
                      <w:rFonts w:ascii="Arial" w:hAnsi="Arial" w:cs="Arial"/>
                      <w:color w:val="auto"/>
                    </w:rPr>
                    <w:t>78.5%</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704DAD" w:rsidP="00A243E1">
                  <w:pPr>
                    <w:pStyle w:val="Default"/>
                    <w:tabs>
                      <w:tab w:val="left" w:pos="142"/>
                    </w:tabs>
                    <w:rPr>
                      <w:rFonts w:ascii="Arial" w:hAnsi="Arial" w:cs="Arial"/>
                      <w:color w:val="auto"/>
                    </w:rPr>
                  </w:pPr>
                  <w:r>
                    <w:rPr>
                      <w:rFonts w:ascii="Arial" w:hAnsi="Arial" w:cs="Arial"/>
                      <w:color w:val="auto"/>
                    </w:rPr>
                    <w:t>16%</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D50E0D" w:rsidP="00A243E1">
                  <w:pPr>
                    <w:pStyle w:val="Default"/>
                    <w:tabs>
                      <w:tab w:val="left" w:pos="142"/>
                    </w:tabs>
                    <w:rPr>
                      <w:rFonts w:ascii="Arial" w:hAnsi="Arial" w:cs="Arial"/>
                    </w:rPr>
                  </w:pPr>
                  <w:r>
                    <w:rPr>
                      <w:rFonts w:ascii="Arial" w:hAnsi="Arial" w:cs="Arial"/>
                    </w:rPr>
                    <w:t>1.3%</w:t>
                  </w:r>
                </w:p>
              </w:tc>
              <w:tc>
                <w:tcPr>
                  <w:tcW w:w="1417"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D50E0D" w:rsidP="00A243E1">
                  <w:pPr>
                    <w:pStyle w:val="Default"/>
                    <w:tabs>
                      <w:tab w:val="left" w:pos="142"/>
                    </w:tabs>
                    <w:rPr>
                      <w:rFonts w:ascii="Arial" w:hAnsi="Arial" w:cs="Arial"/>
                    </w:rPr>
                  </w:pPr>
                  <w:r>
                    <w:rPr>
                      <w:rFonts w:ascii="Arial" w:hAnsi="Arial" w:cs="Arial"/>
                    </w:rPr>
                    <w:t>0.2%</w:t>
                  </w:r>
                </w:p>
              </w:tc>
              <w:tc>
                <w:tcPr>
                  <w:tcW w:w="1134"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0.5%</w:t>
                  </w:r>
                </w:p>
              </w:tc>
              <w:tc>
                <w:tcPr>
                  <w:tcW w:w="993"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0/6%</w:t>
                  </w:r>
                </w:p>
              </w:tc>
              <w:tc>
                <w:tcPr>
                  <w:tcW w:w="1134"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0.5%</w:t>
                  </w:r>
                </w:p>
              </w:tc>
              <w:tc>
                <w:tcPr>
                  <w:tcW w:w="1417"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99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851"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1%</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704DAD" w:rsidP="00A243E1">
                  <w:pPr>
                    <w:pStyle w:val="Default"/>
                    <w:tabs>
                      <w:tab w:val="left" w:pos="142"/>
                    </w:tabs>
                    <w:rPr>
                      <w:rFonts w:ascii="Arial" w:hAnsi="Arial" w:cs="Arial"/>
                    </w:rPr>
                  </w:pPr>
                  <w:r>
                    <w:rPr>
                      <w:rFonts w:ascii="Arial" w:hAnsi="Arial" w:cs="Arial"/>
                    </w:rPr>
                    <w:t>5.5%</w:t>
                  </w: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sz w:val="24"/>
                <w:szCs w:val="24"/>
              </w:rPr>
            </w:pPr>
          </w:p>
          <w:p w:rsidR="00A75AE8" w:rsidRPr="002649FE" w:rsidRDefault="006E524F" w:rsidP="00A243E1">
            <w:pPr>
              <w:tabs>
                <w:tab w:val="left" w:pos="142"/>
              </w:tabs>
              <w:rPr>
                <w:rFonts w:ascii="Arial" w:hAnsi="Arial" w:cs="Arial"/>
                <w:b/>
                <w:sz w:val="24"/>
                <w:szCs w:val="24"/>
              </w:rPr>
            </w:pPr>
            <w:r>
              <w:rPr>
                <w:rFonts w:ascii="Arial" w:hAnsi="Arial" w:cs="Arial"/>
                <w:b/>
                <w:sz w:val="24"/>
                <w:szCs w:val="24"/>
              </w:rPr>
              <w:t>See minutes of meeting dated 14 11 16.   This was discussed within the group and it was felt that the PPG members were representative and had taken into account the profile of Hill Barton Surgery.</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07068B" w:rsidRDefault="0007068B" w:rsidP="00A243E1">
            <w:pPr>
              <w:tabs>
                <w:tab w:val="left" w:pos="142"/>
              </w:tabs>
              <w:rPr>
                <w:rFonts w:ascii="Arial" w:hAnsi="Arial" w:cs="Arial"/>
                <w:sz w:val="24"/>
                <w:szCs w:val="24"/>
              </w:rPr>
            </w:pPr>
          </w:p>
          <w:p w:rsidR="0007068B" w:rsidRPr="00372175" w:rsidRDefault="006E524F" w:rsidP="00A243E1">
            <w:pPr>
              <w:tabs>
                <w:tab w:val="left" w:pos="142"/>
              </w:tabs>
              <w:rPr>
                <w:rFonts w:ascii="Arial" w:hAnsi="Arial" w:cs="Arial"/>
                <w:b/>
                <w:szCs w:val="22"/>
              </w:rPr>
            </w:pPr>
            <w:r w:rsidRPr="00372175">
              <w:rPr>
                <w:rFonts w:ascii="Arial" w:hAnsi="Arial" w:cs="Arial"/>
                <w:b/>
                <w:szCs w:val="22"/>
              </w:rPr>
              <w:lastRenderedPageBreak/>
              <w:t>See minutes of practice meeting dated 14 11 16.</w:t>
            </w:r>
          </w:p>
          <w:p w:rsidR="006E524F" w:rsidRDefault="006E524F" w:rsidP="00A243E1">
            <w:pPr>
              <w:tabs>
                <w:tab w:val="left" w:pos="142"/>
              </w:tabs>
              <w:rPr>
                <w:rFonts w:ascii="Arial" w:hAnsi="Arial" w:cs="Arial"/>
                <w:b/>
                <w:szCs w:val="22"/>
              </w:rPr>
            </w:pPr>
            <w:r w:rsidRPr="00372175">
              <w:rPr>
                <w:rFonts w:ascii="Arial" w:hAnsi="Arial" w:cs="Arial"/>
                <w:b/>
                <w:szCs w:val="22"/>
              </w:rPr>
              <w:t>This was discussed within the group and several methods will be continued to be used within HBS to gain views of PPG and practice patients.</w:t>
            </w:r>
          </w:p>
          <w:p w:rsidR="00372175" w:rsidRDefault="00372175" w:rsidP="00A243E1">
            <w:pPr>
              <w:tabs>
                <w:tab w:val="left" w:pos="142"/>
              </w:tabs>
              <w:rPr>
                <w:rFonts w:ascii="Arial" w:hAnsi="Arial" w:cs="Arial"/>
                <w:b/>
                <w:szCs w:val="22"/>
              </w:rPr>
            </w:pPr>
          </w:p>
          <w:p w:rsidR="00372175" w:rsidRPr="00372175" w:rsidRDefault="00372175" w:rsidP="00A243E1">
            <w:pPr>
              <w:tabs>
                <w:tab w:val="left" w:pos="142"/>
              </w:tabs>
              <w:rPr>
                <w:rFonts w:ascii="Arial" w:hAnsi="Arial" w:cs="Arial"/>
                <w:b/>
                <w:szCs w:val="22"/>
              </w:rPr>
            </w:pPr>
            <w:r>
              <w:rPr>
                <w:rFonts w:ascii="Arial" w:hAnsi="Arial" w:cs="Arial"/>
                <w:b/>
                <w:szCs w:val="22"/>
              </w:rPr>
              <w:t>Patients of HBS including feedback boxes, posters in the waiting room, information on the website etc.</w:t>
            </w:r>
          </w:p>
          <w:p w:rsidR="00A75AE8" w:rsidRPr="00372175"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07068B" w:rsidRDefault="0007068B" w:rsidP="00A243E1">
            <w:pPr>
              <w:pStyle w:val="Default"/>
              <w:tabs>
                <w:tab w:val="left" w:pos="142"/>
              </w:tabs>
              <w:rPr>
                <w:rFonts w:ascii="Arial" w:hAnsi="Arial" w:cs="Arial"/>
                <w:sz w:val="24"/>
              </w:rPr>
            </w:pPr>
          </w:p>
          <w:p w:rsidR="00A75AE8" w:rsidRPr="00372175" w:rsidRDefault="000401C3" w:rsidP="00A243E1">
            <w:pPr>
              <w:pStyle w:val="Default"/>
              <w:tabs>
                <w:tab w:val="left" w:pos="142"/>
              </w:tabs>
              <w:rPr>
                <w:rFonts w:ascii="Arial" w:hAnsi="Arial" w:cs="Arial"/>
                <w:b/>
              </w:rPr>
            </w:pPr>
            <w:r w:rsidRPr="00372175">
              <w:rPr>
                <w:rFonts w:ascii="Arial" w:hAnsi="Arial" w:cs="Arial"/>
                <w:b/>
                <w:sz w:val="24"/>
              </w:rPr>
              <w:t>The sources of feedback were from patient’s friends and family questionnaires, individual questionnaires and website patient comments as well as e-mails within the PPG and discussions at the PPG meetings.</w:t>
            </w:r>
            <w:r w:rsidR="0007068B" w:rsidRPr="00372175">
              <w:rPr>
                <w:rFonts w:ascii="Arial" w:hAnsi="Arial" w:cs="Arial"/>
                <w:b/>
                <w:sz w:val="24"/>
              </w:rPr>
              <w:t xml:space="preserve"> </w:t>
            </w:r>
          </w:p>
          <w:p w:rsidR="00A75AE8" w:rsidRPr="00372175" w:rsidRDefault="00A75AE8" w:rsidP="00A243E1">
            <w:pPr>
              <w:pStyle w:val="Default"/>
              <w:tabs>
                <w:tab w:val="left" w:pos="142"/>
              </w:tabs>
              <w:rPr>
                <w:rFonts w:ascii="Arial" w:hAnsi="Arial" w:cs="Arial"/>
                <w:b/>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07068B" w:rsidRDefault="0007068B" w:rsidP="0007068B">
            <w:pPr>
              <w:pStyle w:val="Default"/>
              <w:tabs>
                <w:tab w:val="left" w:pos="142"/>
              </w:tabs>
              <w:rPr>
                <w:rFonts w:ascii="Arial" w:hAnsi="Arial" w:cs="Arial"/>
                <w:sz w:val="24"/>
              </w:rPr>
            </w:pPr>
          </w:p>
          <w:p w:rsidR="000401C3" w:rsidRPr="00D07A9E" w:rsidRDefault="000401C3" w:rsidP="0007068B">
            <w:pPr>
              <w:pStyle w:val="Default"/>
              <w:tabs>
                <w:tab w:val="left" w:pos="142"/>
              </w:tabs>
              <w:rPr>
                <w:rFonts w:ascii="Arial" w:hAnsi="Arial" w:cs="Arial"/>
                <w:b/>
                <w:sz w:val="24"/>
              </w:rPr>
            </w:pPr>
            <w:r w:rsidRPr="00D07A9E">
              <w:rPr>
                <w:rFonts w:ascii="Arial" w:hAnsi="Arial" w:cs="Arial"/>
                <w:b/>
                <w:sz w:val="24"/>
              </w:rPr>
              <w:t>These were reviewed at each PRG meeting</w:t>
            </w:r>
          </w:p>
          <w:p w:rsidR="0007068B" w:rsidRPr="002649FE" w:rsidRDefault="0007068B" w:rsidP="0007068B">
            <w:pPr>
              <w:pStyle w:val="Default"/>
              <w:tabs>
                <w:tab w:val="left" w:pos="142"/>
              </w:tabs>
              <w:rPr>
                <w:rFonts w:ascii="Arial" w:hAnsi="Arial" w:cs="Arial"/>
              </w:rPr>
            </w:pPr>
          </w:p>
          <w:p w:rsidR="0007068B" w:rsidRPr="002649FE" w:rsidRDefault="0007068B" w:rsidP="00A243E1">
            <w:pPr>
              <w:pStyle w:val="Default"/>
              <w:tabs>
                <w:tab w:val="left" w:pos="142"/>
              </w:tabs>
              <w:rPr>
                <w:rFonts w:ascii="Arial" w:hAnsi="Arial" w:cs="Arial"/>
                <w:sz w:val="24"/>
              </w:rPr>
            </w:pPr>
          </w:p>
          <w:p w:rsidR="0012421B" w:rsidRPr="002649FE" w:rsidRDefault="0012421B"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D07A9E" w:rsidRDefault="000401C3" w:rsidP="00A243E1">
            <w:pPr>
              <w:pStyle w:val="Default"/>
              <w:tabs>
                <w:tab w:val="left" w:pos="142"/>
              </w:tabs>
              <w:rPr>
                <w:rFonts w:ascii="Arial" w:hAnsi="Arial" w:cs="Arial"/>
                <w:b/>
                <w:sz w:val="24"/>
              </w:rPr>
            </w:pPr>
            <w:r w:rsidRPr="00D07A9E">
              <w:rPr>
                <w:rFonts w:ascii="Arial" w:hAnsi="Arial" w:cs="Arial"/>
                <w:b/>
                <w:sz w:val="24"/>
              </w:rPr>
              <w:t>Decoration of the downstairs waiting room</w:t>
            </w:r>
            <w:r w:rsidR="00CE0296" w:rsidRPr="00D07A9E">
              <w:rPr>
                <w:rFonts w:ascii="Arial" w:hAnsi="Arial" w:cs="Arial"/>
                <w:b/>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0401C3" w:rsidP="00A243E1">
            <w:pPr>
              <w:pStyle w:val="Default"/>
              <w:tabs>
                <w:tab w:val="left" w:pos="142"/>
              </w:tabs>
              <w:rPr>
                <w:rFonts w:ascii="Arial" w:hAnsi="Arial" w:cs="Arial"/>
                <w:sz w:val="24"/>
              </w:rPr>
            </w:pPr>
            <w:r w:rsidRPr="00D07A9E">
              <w:rPr>
                <w:rFonts w:ascii="Arial" w:hAnsi="Arial" w:cs="Arial"/>
                <w:b/>
                <w:sz w:val="24"/>
              </w:rPr>
              <w:t>A date was arranged in order to carry out the decorating works</w:t>
            </w: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D07A9E" w:rsidRDefault="000401C3" w:rsidP="00A243E1">
            <w:pPr>
              <w:pStyle w:val="Default"/>
              <w:tabs>
                <w:tab w:val="left" w:pos="142"/>
              </w:tabs>
              <w:rPr>
                <w:rFonts w:ascii="Arial" w:hAnsi="Arial" w:cs="Arial"/>
                <w:b/>
                <w:sz w:val="24"/>
              </w:rPr>
            </w:pPr>
            <w:r w:rsidRPr="00D07A9E">
              <w:rPr>
                <w:rFonts w:ascii="Arial" w:hAnsi="Arial" w:cs="Arial"/>
                <w:b/>
                <w:sz w:val="24"/>
              </w:rPr>
              <w:t>The information was put on Hill Barton Surgery website and the posters in the waiting room giving information about the PPG and the waiting room was redecorated as discussed on the 18</w:t>
            </w:r>
            <w:r w:rsidRPr="00D07A9E">
              <w:rPr>
                <w:rFonts w:ascii="Arial" w:hAnsi="Arial" w:cs="Arial"/>
                <w:b/>
                <w:sz w:val="24"/>
                <w:vertAlign w:val="superscript"/>
              </w:rPr>
              <w:t>th</w:t>
            </w:r>
            <w:r w:rsidRPr="00D07A9E">
              <w:rPr>
                <w:rFonts w:ascii="Arial" w:hAnsi="Arial" w:cs="Arial"/>
                <w:b/>
                <w:sz w:val="24"/>
              </w:rPr>
              <w:t>, 19</w:t>
            </w:r>
            <w:r w:rsidRPr="00D07A9E">
              <w:rPr>
                <w:rFonts w:ascii="Arial" w:hAnsi="Arial" w:cs="Arial"/>
                <w:b/>
                <w:sz w:val="24"/>
                <w:vertAlign w:val="superscript"/>
              </w:rPr>
              <w:t>th</w:t>
            </w:r>
            <w:r w:rsidRPr="00D07A9E">
              <w:rPr>
                <w:rFonts w:ascii="Arial" w:hAnsi="Arial" w:cs="Arial"/>
                <w:b/>
                <w:sz w:val="24"/>
              </w:rPr>
              <w:t xml:space="preserve"> and 20</w:t>
            </w:r>
            <w:r w:rsidRPr="00D07A9E">
              <w:rPr>
                <w:rFonts w:ascii="Arial" w:hAnsi="Arial" w:cs="Arial"/>
                <w:b/>
                <w:sz w:val="24"/>
                <w:vertAlign w:val="superscript"/>
              </w:rPr>
              <w:t>th</w:t>
            </w:r>
            <w:r w:rsidRPr="00D07A9E">
              <w:rPr>
                <w:rFonts w:ascii="Arial" w:hAnsi="Arial" w:cs="Arial"/>
                <w:b/>
                <w:sz w:val="24"/>
              </w:rPr>
              <w:t xml:space="preserve"> November.</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D07A9E" w:rsidRDefault="000401C3" w:rsidP="00A243E1">
            <w:pPr>
              <w:pStyle w:val="Default"/>
              <w:tabs>
                <w:tab w:val="left" w:pos="142"/>
              </w:tabs>
              <w:rPr>
                <w:rFonts w:ascii="Arial" w:hAnsi="Arial" w:cs="Arial"/>
                <w:b/>
                <w:sz w:val="24"/>
              </w:rPr>
            </w:pPr>
            <w:r w:rsidRPr="00D07A9E">
              <w:rPr>
                <w:rFonts w:ascii="Arial" w:hAnsi="Arial" w:cs="Arial"/>
                <w:b/>
                <w:sz w:val="24"/>
              </w:rPr>
              <w:t xml:space="preserve">Fundraising discussions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D07A9E" w:rsidRDefault="000401C3" w:rsidP="00A243E1">
            <w:pPr>
              <w:pStyle w:val="Default"/>
              <w:tabs>
                <w:tab w:val="left" w:pos="142"/>
              </w:tabs>
              <w:rPr>
                <w:rFonts w:ascii="Arial" w:hAnsi="Arial" w:cs="Arial"/>
                <w:b/>
                <w:sz w:val="24"/>
              </w:rPr>
            </w:pPr>
            <w:r w:rsidRPr="00D07A9E">
              <w:rPr>
                <w:rFonts w:ascii="Arial" w:hAnsi="Arial" w:cs="Arial"/>
                <w:b/>
                <w:sz w:val="24"/>
              </w:rPr>
              <w:t>Several members of the PPG suggested methods of fund raising and this will be discussed once a list has been made of priority areas required for fundraising.</w:t>
            </w:r>
          </w:p>
          <w:p w:rsidR="00A75AE8" w:rsidRPr="00D07A9E"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A75AE8" w:rsidRPr="00D07A9E" w:rsidRDefault="000401C3" w:rsidP="00A243E1">
            <w:pPr>
              <w:pStyle w:val="Default"/>
              <w:tabs>
                <w:tab w:val="left" w:pos="142"/>
              </w:tabs>
              <w:rPr>
                <w:rFonts w:ascii="Arial" w:hAnsi="Arial" w:cs="Arial"/>
                <w:b/>
                <w:sz w:val="24"/>
              </w:rPr>
            </w:pPr>
            <w:r w:rsidRPr="00D07A9E">
              <w:rPr>
                <w:rFonts w:ascii="Arial" w:hAnsi="Arial" w:cs="Arial"/>
                <w:b/>
                <w:sz w:val="24"/>
              </w:rPr>
              <w:t>This will be put on the practice website.</w:t>
            </w:r>
          </w:p>
          <w:p w:rsidR="00A75AE8" w:rsidRPr="00D07A9E"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D07A9E" w:rsidRDefault="00761594" w:rsidP="00A243E1">
            <w:pPr>
              <w:pStyle w:val="Default"/>
              <w:tabs>
                <w:tab w:val="left" w:pos="142"/>
              </w:tabs>
              <w:rPr>
                <w:rFonts w:ascii="Arial" w:hAnsi="Arial" w:cs="Arial"/>
                <w:b/>
                <w:sz w:val="24"/>
              </w:rPr>
            </w:pPr>
            <w:r w:rsidRPr="00D07A9E">
              <w:rPr>
                <w:rFonts w:ascii="Arial" w:hAnsi="Arial" w:cs="Arial"/>
                <w:b/>
                <w:sz w:val="24"/>
              </w:rPr>
              <w:t>Telephone access and ability to speak to a doctor on the phone:</w:t>
            </w:r>
          </w:p>
          <w:p w:rsidR="00761594" w:rsidRPr="002649FE" w:rsidRDefault="00770BB4" w:rsidP="00A243E1">
            <w:pPr>
              <w:pStyle w:val="Default"/>
              <w:tabs>
                <w:tab w:val="left" w:pos="142"/>
              </w:tabs>
              <w:rPr>
                <w:rFonts w:ascii="Arial" w:hAnsi="Arial" w:cs="Arial"/>
                <w:sz w:val="24"/>
              </w:rPr>
            </w:pP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D07A9E" w:rsidRDefault="00770BB4" w:rsidP="00A243E1">
            <w:pPr>
              <w:pStyle w:val="Default"/>
              <w:tabs>
                <w:tab w:val="left" w:pos="142"/>
              </w:tabs>
              <w:rPr>
                <w:rFonts w:ascii="Arial" w:hAnsi="Arial" w:cs="Arial"/>
                <w:b/>
                <w:sz w:val="24"/>
              </w:rPr>
            </w:pPr>
            <w:r w:rsidRPr="00D07A9E">
              <w:rPr>
                <w:rFonts w:ascii="Arial" w:hAnsi="Arial" w:cs="Arial"/>
                <w:b/>
                <w:sz w:val="24"/>
              </w:rPr>
              <w:t xml:space="preserve">Actions that were taken to address this priority CFEP survey looked at the satisfaction with telephone </w:t>
            </w:r>
            <w:proofErr w:type="gramStart"/>
            <w:r w:rsidRPr="00D07A9E">
              <w:rPr>
                <w:rFonts w:ascii="Arial" w:hAnsi="Arial" w:cs="Arial"/>
                <w:b/>
                <w:sz w:val="24"/>
              </w:rPr>
              <w:t>access  and</w:t>
            </w:r>
            <w:proofErr w:type="gramEnd"/>
            <w:r w:rsidRPr="00D07A9E">
              <w:rPr>
                <w:rFonts w:ascii="Arial" w:hAnsi="Arial" w:cs="Arial"/>
                <w:b/>
                <w:sz w:val="24"/>
              </w:rPr>
              <w:t xml:space="preserve"> was discussed with the group and actions were taken to inform patients of the availability of online booking of both appointments and telephone consultations with a GP.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770BB4" w:rsidRPr="00D07A9E" w:rsidRDefault="00770BB4" w:rsidP="00770BB4">
            <w:pPr>
              <w:pStyle w:val="Default"/>
              <w:tabs>
                <w:tab w:val="left" w:pos="142"/>
              </w:tabs>
              <w:rPr>
                <w:rFonts w:ascii="Arial" w:hAnsi="Arial" w:cs="Arial"/>
                <w:b/>
                <w:sz w:val="24"/>
              </w:rPr>
            </w:pPr>
            <w:r w:rsidRPr="00D07A9E">
              <w:rPr>
                <w:rFonts w:ascii="Arial" w:hAnsi="Arial" w:cs="Arial"/>
                <w:b/>
                <w:sz w:val="24"/>
              </w:rPr>
              <w:t>This was advertised on the website and also information put in the waiting room for patients to become more aware of its availability</w:t>
            </w:r>
          </w:p>
          <w:p w:rsidR="00A75AE8" w:rsidRPr="00D07A9E"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8445F8" w:rsidP="00A243E1">
            <w:pPr>
              <w:pStyle w:val="Default"/>
              <w:tabs>
                <w:tab w:val="left" w:pos="142"/>
              </w:tabs>
              <w:rPr>
                <w:rFonts w:ascii="Arial" w:hAnsi="Arial" w:cs="Arial"/>
                <w:sz w:val="24"/>
              </w:rPr>
            </w:pPr>
            <w:r>
              <w:rPr>
                <w:rFonts w:ascii="Arial" w:hAnsi="Arial" w:cs="Arial"/>
                <w:sz w:val="24"/>
              </w:rPr>
              <w:t>Priority Area No. 4 – Online prescribing</w:t>
            </w:r>
          </w:p>
          <w:p w:rsidR="008445F8" w:rsidRDefault="008445F8" w:rsidP="00A243E1">
            <w:pPr>
              <w:pStyle w:val="Default"/>
              <w:tabs>
                <w:tab w:val="left" w:pos="142"/>
              </w:tabs>
              <w:rPr>
                <w:rFonts w:ascii="Arial" w:hAnsi="Arial" w:cs="Arial"/>
                <w:sz w:val="24"/>
              </w:rPr>
            </w:pPr>
            <w:r>
              <w:rPr>
                <w:rFonts w:ascii="Arial" w:hAnsi="Arial" w:cs="Arial"/>
                <w:sz w:val="24"/>
              </w:rPr>
              <w:lastRenderedPageBreak/>
              <w:t>Actions taken to address this priority information was publicised on the website regarding the last CFEP survey results of the additional 6 questions and the results of actions and impact on patients and carers were publicised on the website and posters in the waiting room giving information on online prescribing services was added.</w:t>
            </w:r>
          </w:p>
          <w:p w:rsidR="008445F8" w:rsidRPr="002649FE" w:rsidRDefault="008445F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20CA" w:rsidRPr="00D07A9E" w:rsidRDefault="000401C3" w:rsidP="00A75AE8">
                            <w:pPr>
                              <w:rPr>
                                <w:b/>
                                <w:sz w:val="24"/>
                                <w:szCs w:val="24"/>
                              </w:rPr>
                            </w:pPr>
                            <w:r w:rsidRPr="00D07A9E">
                              <w:rPr>
                                <w:b/>
                                <w:sz w:val="24"/>
                                <w:szCs w:val="24"/>
                              </w:rPr>
                              <w:t>See minutes of PPG meetings from 14 11 16 and previous meetings.</w:t>
                            </w:r>
                          </w:p>
                          <w:p w:rsidR="000401C3" w:rsidRDefault="000401C3" w:rsidP="00A75AE8">
                            <w:pPr>
                              <w:rPr>
                                <w:b/>
                                <w:sz w:val="24"/>
                                <w:szCs w:val="24"/>
                              </w:rPr>
                            </w:pPr>
                          </w:p>
                          <w:p w:rsidR="000401C3" w:rsidRPr="00B07A63" w:rsidRDefault="000401C3" w:rsidP="00A75AE8">
                            <w:pPr>
                              <w:rPr>
                                <w:b/>
                                <w:sz w:val="24"/>
                                <w:szCs w:val="24"/>
                              </w:rPr>
                            </w:pPr>
                            <w:r>
                              <w:rPr>
                                <w:b/>
                                <w:sz w:val="24"/>
                                <w:szCs w:val="24"/>
                              </w:rPr>
                              <w:t xml:space="preserve">There </w:t>
                            </w:r>
                            <w:r w:rsidR="00D07A9E">
                              <w:rPr>
                                <w:b/>
                                <w:sz w:val="24"/>
                                <w:szCs w:val="24"/>
                              </w:rPr>
                              <w:t>have</w:t>
                            </w:r>
                            <w:r>
                              <w:rPr>
                                <w:b/>
                                <w:sz w:val="24"/>
                                <w:szCs w:val="24"/>
                              </w:rPr>
                              <w:t xml:space="preserve"> been steps taken to address Hill Barton Surgery </w:t>
                            </w:r>
                            <w:r w:rsidR="00D07A9E">
                              <w:rPr>
                                <w:b/>
                                <w:sz w:val="24"/>
                                <w:szCs w:val="24"/>
                              </w:rPr>
                              <w:t xml:space="preserve">premises </w:t>
                            </w:r>
                            <w:r>
                              <w:rPr>
                                <w:b/>
                                <w:sz w:val="24"/>
                                <w:szCs w:val="24"/>
                              </w:rPr>
                              <w:t>decorating as well as communication and feedback within the PPG, fundraising and information sharing regarding access, GP appointments, online ordering and online booking of appointments.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F720CA" w:rsidRPr="00D07A9E" w:rsidRDefault="000401C3" w:rsidP="00A75AE8">
                      <w:pPr>
                        <w:rPr>
                          <w:b/>
                          <w:sz w:val="24"/>
                          <w:szCs w:val="24"/>
                        </w:rPr>
                      </w:pPr>
                      <w:r w:rsidRPr="00D07A9E">
                        <w:rPr>
                          <w:b/>
                          <w:sz w:val="24"/>
                          <w:szCs w:val="24"/>
                        </w:rPr>
                        <w:t>See minutes of PPG meetings from 14 11 16 and previous meetings.</w:t>
                      </w:r>
                    </w:p>
                    <w:p w:rsidR="000401C3" w:rsidRDefault="000401C3" w:rsidP="00A75AE8">
                      <w:pPr>
                        <w:rPr>
                          <w:b/>
                          <w:sz w:val="24"/>
                          <w:szCs w:val="24"/>
                        </w:rPr>
                      </w:pPr>
                    </w:p>
                    <w:p w:rsidR="000401C3" w:rsidRPr="00B07A63" w:rsidRDefault="000401C3" w:rsidP="00A75AE8">
                      <w:pPr>
                        <w:rPr>
                          <w:b/>
                          <w:sz w:val="24"/>
                          <w:szCs w:val="24"/>
                        </w:rPr>
                      </w:pPr>
                      <w:r>
                        <w:rPr>
                          <w:b/>
                          <w:sz w:val="24"/>
                          <w:szCs w:val="24"/>
                        </w:rPr>
                        <w:t xml:space="preserve">There </w:t>
                      </w:r>
                      <w:r w:rsidR="00D07A9E">
                        <w:rPr>
                          <w:b/>
                          <w:sz w:val="24"/>
                          <w:szCs w:val="24"/>
                        </w:rPr>
                        <w:t>have</w:t>
                      </w:r>
                      <w:r>
                        <w:rPr>
                          <w:b/>
                          <w:sz w:val="24"/>
                          <w:szCs w:val="24"/>
                        </w:rPr>
                        <w:t xml:space="preserve"> been steps taken to address Hill Barton Surgery </w:t>
                      </w:r>
                      <w:r w:rsidR="00D07A9E">
                        <w:rPr>
                          <w:b/>
                          <w:sz w:val="24"/>
                          <w:szCs w:val="24"/>
                        </w:rPr>
                        <w:t xml:space="preserve">premises </w:t>
                      </w:r>
                      <w:r>
                        <w:rPr>
                          <w:b/>
                          <w:sz w:val="24"/>
                          <w:szCs w:val="24"/>
                        </w:rPr>
                        <w:t>decorating as well as communication and feedback within the PPG, fundraising and information sharing regarding access, GP appointments, online ordering and online booking of appointments.</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D50E0D"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0401C3">
              <w:rPr>
                <w:rFonts w:ascii="Arial" w:hAnsi="Arial" w:cs="Arial"/>
                <w:sz w:val="24"/>
              </w:rPr>
              <w:t>14 11 16</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D07A9E" w:rsidRDefault="000401C3" w:rsidP="00A243E1">
            <w:pPr>
              <w:pStyle w:val="Default"/>
              <w:tabs>
                <w:tab w:val="left" w:pos="142"/>
              </w:tabs>
              <w:rPr>
                <w:rFonts w:ascii="Arial" w:hAnsi="Arial" w:cs="Arial"/>
                <w:b/>
                <w:sz w:val="24"/>
              </w:rPr>
            </w:pPr>
            <w:r w:rsidRPr="00D07A9E">
              <w:rPr>
                <w:rFonts w:ascii="Arial" w:hAnsi="Arial" w:cs="Arial"/>
                <w:b/>
                <w:sz w:val="24"/>
              </w:rPr>
              <w:t xml:space="preserve">See </w:t>
            </w:r>
            <w:r w:rsidR="00372175" w:rsidRPr="00D07A9E">
              <w:rPr>
                <w:rFonts w:ascii="Arial" w:hAnsi="Arial" w:cs="Arial"/>
                <w:b/>
                <w:sz w:val="24"/>
              </w:rPr>
              <w:t>minutes of PPG meeting 14 11 16</w:t>
            </w:r>
          </w:p>
          <w:p w:rsidR="00E6414E" w:rsidRDefault="00E6414E" w:rsidP="00A243E1">
            <w:pPr>
              <w:pStyle w:val="Default"/>
              <w:tabs>
                <w:tab w:val="left" w:pos="142"/>
              </w:tabs>
              <w:rPr>
                <w:rFonts w:ascii="Arial" w:hAnsi="Arial" w:cs="Arial"/>
                <w:sz w:val="24"/>
              </w:rPr>
            </w:pPr>
          </w:p>
          <w:p w:rsidR="00E6414E" w:rsidRDefault="00E6414E"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01C3"/>
    <w:rsid w:val="0007068B"/>
    <w:rsid w:val="000811F8"/>
    <w:rsid w:val="00121187"/>
    <w:rsid w:val="0012421B"/>
    <w:rsid w:val="002649FE"/>
    <w:rsid w:val="002F67F1"/>
    <w:rsid w:val="00337587"/>
    <w:rsid w:val="00372175"/>
    <w:rsid w:val="003E33D7"/>
    <w:rsid w:val="006534CD"/>
    <w:rsid w:val="006E524F"/>
    <w:rsid w:val="00704DAD"/>
    <w:rsid w:val="00761594"/>
    <w:rsid w:val="00770BB4"/>
    <w:rsid w:val="007726AA"/>
    <w:rsid w:val="007878BB"/>
    <w:rsid w:val="007A388E"/>
    <w:rsid w:val="007C1C68"/>
    <w:rsid w:val="008445F8"/>
    <w:rsid w:val="00884F6E"/>
    <w:rsid w:val="008A6AA7"/>
    <w:rsid w:val="00902C10"/>
    <w:rsid w:val="00A64080"/>
    <w:rsid w:val="00A75AE8"/>
    <w:rsid w:val="00A902E5"/>
    <w:rsid w:val="00B01F05"/>
    <w:rsid w:val="00B07A63"/>
    <w:rsid w:val="00C2236C"/>
    <w:rsid w:val="00CE0296"/>
    <w:rsid w:val="00D07A9E"/>
    <w:rsid w:val="00D50E0D"/>
    <w:rsid w:val="00E6414E"/>
    <w:rsid w:val="00ED5DDD"/>
    <w:rsid w:val="00F7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07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6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07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6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elements/1.1/"/>
    <ds:schemaRef ds:uri="http://schemas.microsoft.com/sharepoint/v3"/>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31E24BAA-C41A-42E3-BEFB-A8957B5D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Helen Townsend</cp:lastModifiedBy>
  <cp:revision>2</cp:revision>
  <cp:lastPrinted>2016-12-21T11:39:00Z</cp:lastPrinted>
  <dcterms:created xsi:type="dcterms:W3CDTF">2016-12-21T15:07:00Z</dcterms:created>
  <dcterms:modified xsi:type="dcterms:W3CDTF">2016-12-21T15:07:00Z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